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E955C" w14:textId="4D642339" w:rsidR="00C55135" w:rsidRPr="00C55135" w:rsidRDefault="00C55135" w:rsidP="00C55135">
      <w:pPr>
        <w:spacing w:after="0" w:line="240" w:lineRule="auto"/>
        <w:textAlignment w:val="baseline"/>
        <w:outlineLvl w:val="0"/>
        <w:rPr>
          <w:rFonts w:ascii="inherit" w:eastAsia="Times New Roman" w:hAnsi="inherit" w:cs="Times New Roman"/>
          <w:b/>
          <w:bCs/>
          <w:color w:val="25303B"/>
          <w:spacing w:val="8"/>
          <w:kern w:val="36"/>
          <w:sz w:val="48"/>
          <w:szCs w:val="48"/>
          <w:lang w:eastAsia="en-GB"/>
          <w14:ligatures w14:val="none"/>
        </w:rPr>
      </w:pPr>
      <w:r>
        <w:rPr>
          <w:rFonts w:ascii="inherit" w:eastAsia="Times New Roman" w:hAnsi="inherit" w:cs="Times New Roman"/>
          <w:b/>
          <w:bCs/>
          <w:color w:val="25303B"/>
          <w:spacing w:val="8"/>
          <w:kern w:val="36"/>
          <w:sz w:val="48"/>
          <w:szCs w:val="48"/>
          <w:lang w:eastAsia="en-GB"/>
          <w14:ligatures w14:val="none"/>
        </w:rPr>
        <w:t xml:space="preserve">NEU </w:t>
      </w:r>
      <w:r w:rsidRPr="00C55135">
        <w:rPr>
          <w:rFonts w:ascii="inherit" w:eastAsia="Times New Roman" w:hAnsi="inherit" w:cs="Times New Roman"/>
          <w:b/>
          <w:bCs/>
          <w:color w:val="25303B"/>
          <w:spacing w:val="8"/>
          <w:kern w:val="36"/>
          <w:sz w:val="48"/>
          <w:szCs w:val="48"/>
          <w:lang w:eastAsia="en-GB"/>
          <w14:ligatures w14:val="none"/>
        </w:rPr>
        <w:t>Disability equality toolkit</w:t>
      </w:r>
    </w:p>
    <w:p w14:paraId="7A24B845" w14:textId="77777777" w:rsidR="00C55135" w:rsidRPr="00C55135" w:rsidRDefault="00C55135" w:rsidP="00C55135">
      <w:pPr>
        <w:spacing w:after="0"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The tools will upskill and educate members, leaders and work colleagues on disability equality and building more inclusive schools and colleges. </w:t>
      </w:r>
    </w:p>
    <w:p w14:paraId="6DBE24B4" w14:textId="77777777" w:rsidR="00C55135" w:rsidRPr="00C55135" w:rsidRDefault="00C55135" w:rsidP="00C55135">
      <w:pPr>
        <w:numPr>
          <w:ilvl w:val="0"/>
          <w:numId w:val="1"/>
        </w:numPr>
        <w:spacing w:beforeAutospacing="1" w:after="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bdr w:val="none" w:sz="0" w:space="0" w:color="auto" w:frame="1"/>
          <w:lang w:eastAsia="en-GB"/>
          <w14:ligatures w14:val="none"/>
        </w:rPr>
        <w:t>Last updated: </w:t>
      </w:r>
      <w:r w:rsidRPr="00C55135">
        <w:rPr>
          <w:rFonts w:ascii="inherit" w:eastAsia="Times New Roman" w:hAnsi="inherit" w:cs="Times New Roman"/>
          <w:b/>
          <w:bCs/>
          <w:color w:val="3AC5C6"/>
          <w:kern w:val="0"/>
          <w:bdr w:val="none" w:sz="0" w:space="0" w:color="auto" w:frame="1"/>
          <w:lang w:eastAsia="en-GB"/>
          <w14:ligatures w14:val="none"/>
        </w:rPr>
        <w:t>19/08/2024</w:t>
      </w:r>
    </w:p>
    <w:p w14:paraId="3292EE20" w14:textId="77777777" w:rsidR="00C55135" w:rsidRPr="00C55135" w:rsidRDefault="00C55135" w:rsidP="00C55135">
      <w:pPr>
        <w:spacing w:after="0" w:line="240" w:lineRule="auto"/>
        <w:textAlignment w:val="baseline"/>
        <w:outlineLvl w:val="1"/>
        <w:rPr>
          <w:rFonts w:ascii="inherit" w:eastAsia="Times New Roman" w:hAnsi="inherit" w:cs="Times New Roman"/>
          <w:b/>
          <w:bCs/>
          <w:color w:val="25303B"/>
          <w:kern w:val="0"/>
          <w:sz w:val="36"/>
          <w:szCs w:val="36"/>
          <w:lang w:eastAsia="en-GB"/>
          <w14:ligatures w14:val="none"/>
        </w:rPr>
      </w:pPr>
      <w:r w:rsidRPr="00C55135">
        <w:rPr>
          <w:rFonts w:ascii="inherit" w:eastAsia="Times New Roman" w:hAnsi="inherit" w:cs="Times New Roman"/>
          <w:b/>
          <w:bCs/>
          <w:color w:val="25303B"/>
          <w:kern w:val="0"/>
          <w:sz w:val="36"/>
          <w:szCs w:val="36"/>
          <w:lang w:eastAsia="en-GB"/>
          <w14:ligatures w14:val="none"/>
        </w:rPr>
        <w:t>Workplace disability discrimination</w:t>
      </w:r>
    </w:p>
    <w:p w14:paraId="49C60848" w14:textId="77777777" w:rsidR="00C55135" w:rsidRPr="00C55135" w:rsidRDefault="00C55135" w:rsidP="00C55135">
      <w:pPr>
        <w:spacing w:before="100" w:beforeAutospacing="1" w:after="100" w:afterAutospacing="1" w:line="240" w:lineRule="auto"/>
        <w:textAlignment w:val="baseline"/>
        <w:outlineLvl w:val="2"/>
        <w:rPr>
          <w:rFonts w:ascii="inherit" w:eastAsia="Times New Roman" w:hAnsi="inherit" w:cs="Times New Roman"/>
          <w:b/>
          <w:bCs/>
          <w:color w:val="25303B"/>
          <w:kern w:val="0"/>
          <w:sz w:val="27"/>
          <w:szCs w:val="27"/>
          <w:lang w:eastAsia="en-GB"/>
          <w14:ligatures w14:val="none"/>
        </w:rPr>
      </w:pPr>
      <w:r w:rsidRPr="00C55135">
        <w:rPr>
          <w:rFonts w:ascii="inherit" w:eastAsia="Times New Roman" w:hAnsi="inherit" w:cs="Times New Roman"/>
          <w:b/>
          <w:bCs/>
          <w:color w:val="25303B"/>
          <w:kern w:val="0"/>
          <w:sz w:val="27"/>
          <w:szCs w:val="27"/>
          <w:lang w:eastAsia="en-GB"/>
          <w14:ligatures w14:val="none"/>
        </w:rPr>
        <w:t>Key issues for NEU reps</w:t>
      </w:r>
    </w:p>
    <w:p w14:paraId="4D389702" w14:textId="77777777" w:rsidR="00C55135" w:rsidRPr="00C55135" w:rsidRDefault="00C55135" w:rsidP="00C55135">
      <w:pPr>
        <w:numPr>
          <w:ilvl w:val="0"/>
          <w:numId w:val="2"/>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Disability access</w:t>
      </w:r>
    </w:p>
    <w:p w14:paraId="0F06144D" w14:textId="77777777" w:rsidR="00C55135" w:rsidRPr="00C55135" w:rsidRDefault="00C55135" w:rsidP="00C55135">
      <w:pPr>
        <w:numPr>
          <w:ilvl w:val="0"/>
          <w:numId w:val="2"/>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Workplace disability audits</w:t>
      </w:r>
    </w:p>
    <w:p w14:paraId="77458903" w14:textId="77777777" w:rsidR="00C55135" w:rsidRPr="00C55135" w:rsidRDefault="00C55135" w:rsidP="00C55135">
      <w:pPr>
        <w:numPr>
          <w:ilvl w:val="0"/>
          <w:numId w:val="2"/>
        </w:numPr>
        <w:spacing w:beforeAutospacing="1" w:after="0" w:afterAutospacing="1" w:line="240" w:lineRule="auto"/>
        <w:textAlignment w:val="baseline"/>
        <w:rPr>
          <w:rFonts w:ascii="inherit" w:eastAsia="Times New Roman" w:hAnsi="inherit" w:cs="Times New Roman"/>
          <w:color w:val="25303B"/>
          <w:kern w:val="0"/>
          <w:lang w:eastAsia="en-GB"/>
          <w14:ligatures w14:val="none"/>
        </w:rPr>
      </w:pPr>
      <w:hyperlink r:id="rId5" w:tooltip="Reasonable adjustments and case studies" w:history="1">
        <w:r w:rsidRPr="00C55135">
          <w:rPr>
            <w:rFonts w:ascii="inherit" w:eastAsia="Times New Roman" w:hAnsi="inherit" w:cs="Times New Roman"/>
            <w:b/>
            <w:bCs/>
            <w:color w:val="3AC5C6"/>
            <w:kern w:val="0"/>
            <w:u w:val="single"/>
            <w:bdr w:val="none" w:sz="0" w:space="0" w:color="auto" w:frame="1"/>
            <w:lang w:eastAsia="en-GB"/>
            <w14:ligatures w14:val="none"/>
          </w:rPr>
          <w:t>Reasonable adjustments</w:t>
        </w:r>
      </w:hyperlink>
    </w:p>
    <w:p w14:paraId="41A63D63" w14:textId="77777777" w:rsidR="00C55135" w:rsidRPr="00C55135" w:rsidRDefault="00C55135" w:rsidP="00C55135">
      <w:pPr>
        <w:numPr>
          <w:ilvl w:val="0"/>
          <w:numId w:val="2"/>
        </w:numPr>
        <w:spacing w:beforeAutospacing="1" w:after="0" w:afterAutospacing="1" w:line="240" w:lineRule="auto"/>
        <w:textAlignment w:val="baseline"/>
        <w:rPr>
          <w:rFonts w:ascii="inherit" w:eastAsia="Times New Roman" w:hAnsi="inherit" w:cs="Times New Roman"/>
          <w:color w:val="25303B"/>
          <w:kern w:val="0"/>
          <w:lang w:eastAsia="en-GB"/>
          <w14:ligatures w14:val="none"/>
        </w:rPr>
      </w:pPr>
      <w:hyperlink r:id="rId6" w:tooltip="Disability discrimination" w:history="1">
        <w:r w:rsidRPr="00C55135">
          <w:rPr>
            <w:rFonts w:ascii="inherit" w:eastAsia="Times New Roman" w:hAnsi="inherit" w:cs="Times New Roman"/>
            <w:b/>
            <w:bCs/>
            <w:color w:val="3AC5C6"/>
            <w:kern w:val="0"/>
            <w:u w:val="single"/>
            <w:bdr w:val="none" w:sz="0" w:space="0" w:color="auto" w:frame="1"/>
            <w:lang w:eastAsia="en-GB"/>
            <w14:ligatures w14:val="none"/>
          </w:rPr>
          <w:t>Disability harassment</w:t>
        </w:r>
      </w:hyperlink>
    </w:p>
    <w:p w14:paraId="218DDE33" w14:textId="77777777" w:rsidR="00C55135" w:rsidRPr="00C55135" w:rsidRDefault="00C55135" w:rsidP="00C55135">
      <w:pPr>
        <w:numPr>
          <w:ilvl w:val="0"/>
          <w:numId w:val="2"/>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 xml:space="preserve">Disability </w:t>
      </w:r>
      <w:proofErr w:type="gramStart"/>
      <w:r w:rsidRPr="00C55135">
        <w:rPr>
          <w:rFonts w:ascii="inherit" w:eastAsia="Times New Roman" w:hAnsi="inherit" w:cs="Times New Roman"/>
          <w:color w:val="25303B"/>
          <w:kern w:val="0"/>
          <w:lang w:eastAsia="en-GB"/>
          <w14:ligatures w14:val="none"/>
        </w:rPr>
        <w:t>leave</w:t>
      </w:r>
      <w:proofErr w:type="gramEnd"/>
      <w:r w:rsidRPr="00C55135">
        <w:rPr>
          <w:rFonts w:ascii="inherit" w:eastAsia="Times New Roman" w:hAnsi="inherit" w:cs="Times New Roman"/>
          <w:color w:val="25303B"/>
          <w:kern w:val="0"/>
          <w:lang w:eastAsia="en-GB"/>
          <w14:ligatures w14:val="none"/>
        </w:rPr>
        <w:t xml:space="preserve"> and flexible working</w:t>
      </w:r>
    </w:p>
    <w:p w14:paraId="5A921F32" w14:textId="77777777" w:rsidR="00C55135" w:rsidRPr="00C55135" w:rsidRDefault="00C55135" w:rsidP="00C55135">
      <w:pPr>
        <w:numPr>
          <w:ilvl w:val="0"/>
          <w:numId w:val="2"/>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Mental health and stress at work</w:t>
      </w:r>
    </w:p>
    <w:p w14:paraId="32C3A4BF" w14:textId="77777777" w:rsidR="00C55135" w:rsidRPr="00C55135" w:rsidRDefault="00C55135" w:rsidP="00C55135">
      <w:pPr>
        <w:numPr>
          <w:ilvl w:val="0"/>
          <w:numId w:val="2"/>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Health and safety and disability equality</w:t>
      </w:r>
    </w:p>
    <w:p w14:paraId="1693F63A" w14:textId="77777777" w:rsidR="00C55135" w:rsidRPr="00C55135" w:rsidRDefault="00C55135" w:rsidP="00C55135">
      <w:pPr>
        <w:spacing w:before="100" w:beforeAutospacing="1" w:after="100" w:afterAutospacing="1" w:line="240" w:lineRule="auto"/>
        <w:textAlignment w:val="baseline"/>
        <w:outlineLvl w:val="2"/>
        <w:rPr>
          <w:rFonts w:ascii="inherit" w:eastAsia="Times New Roman" w:hAnsi="inherit" w:cs="Times New Roman"/>
          <w:b/>
          <w:bCs/>
          <w:color w:val="25303B"/>
          <w:kern w:val="0"/>
          <w:sz w:val="27"/>
          <w:szCs w:val="27"/>
          <w:lang w:eastAsia="en-GB"/>
          <w14:ligatures w14:val="none"/>
        </w:rPr>
      </w:pPr>
      <w:r w:rsidRPr="00C55135">
        <w:rPr>
          <w:rFonts w:ascii="inherit" w:eastAsia="Times New Roman" w:hAnsi="inherit" w:cs="Times New Roman"/>
          <w:b/>
          <w:bCs/>
          <w:color w:val="25303B"/>
          <w:kern w:val="0"/>
          <w:sz w:val="27"/>
          <w:szCs w:val="27"/>
          <w:lang w:eastAsia="en-GB"/>
          <w14:ligatures w14:val="none"/>
        </w:rPr>
        <w:t>Get to know the law</w:t>
      </w:r>
    </w:p>
    <w:p w14:paraId="4559C372" w14:textId="77777777" w:rsidR="00C55135" w:rsidRPr="00C55135" w:rsidRDefault="00C55135" w:rsidP="00C55135">
      <w:pPr>
        <w:numPr>
          <w:ilvl w:val="0"/>
          <w:numId w:val="3"/>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The Equality Act 2010 protects people from discrimination in all aspects of employment, including:</w:t>
      </w:r>
    </w:p>
    <w:p w14:paraId="1FABC4FB" w14:textId="77777777" w:rsidR="00C55135" w:rsidRPr="00C55135" w:rsidRDefault="00C55135" w:rsidP="00C55135">
      <w:pPr>
        <w:numPr>
          <w:ilvl w:val="1"/>
          <w:numId w:val="3"/>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when applying for a job</w:t>
      </w:r>
    </w:p>
    <w:p w14:paraId="1BB09F7C" w14:textId="77777777" w:rsidR="00C55135" w:rsidRPr="00C55135" w:rsidRDefault="00C55135" w:rsidP="00C55135">
      <w:pPr>
        <w:numPr>
          <w:ilvl w:val="1"/>
          <w:numId w:val="3"/>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in the terms on which employment is offered</w:t>
      </w:r>
    </w:p>
    <w:p w14:paraId="61E32AC4" w14:textId="77777777" w:rsidR="00C55135" w:rsidRPr="00C55135" w:rsidRDefault="00C55135" w:rsidP="00C55135">
      <w:pPr>
        <w:numPr>
          <w:ilvl w:val="1"/>
          <w:numId w:val="3"/>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in opportunities for training, promotion, or other benefits</w:t>
      </w:r>
    </w:p>
    <w:p w14:paraId="62EC8F6C" w14:textId="77777777" w:rsidR="00C55135" w:rsidRPr="00C55135" w:rsidRDefault="00C55135" w:rsidP="00C55135">
      <w:pPr>
        <w:numPr>
          <w:ilvl w:val="1"/>
          <w:numId w:val="3"/>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in the way you are treated by your employer and colleagues</w:t>
      </w:r>
    </w:p>
    <w:p w14:paraId="2847037E" w14:textId="77777777" w:rsidR="00C55135" w:rsidRPr="00C55135" w:rsidRDefault="00C55135" w:rsidP="00C55135">
      <w:pPr>
        <w:numPr>
          <w:ilvl w:val="1"/>
          <w:numId w:val="3"/>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in being selected for redundancy or by being dismissed when you have left your job, but still have a relationship with your previous employer e.g., requiring a reference.</w:t>
      </w:r>
    </w:p>
    <w:p w14:paraId="475DC9C5" w14:textId="77777777" w:rsidR="00C55135" w:rsidRPr="00C55135" w:rsidRDefault="00C55135" w:rsidP="00C55135">
      <w:pPr>
        <w:numPr>
          <w:ilvl w:val="0"/>
          <w:numId w:val="3"/>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Further to this, the Act places a proactive duty on employers to make reasonable adjustments to working arrangements or premises. This includes making reasonable adjustments to the application and interview process, and careful consideration about providing references.  </w:t>
      </w:r>
    </w:p>
    <w:p w14:paraId="741271F7" w14:textId="77777777" w:rsidR="00C55135" w:rsidRPr="00C55135" w:rsidRDefault="00C55135" w:rsidP="00C55135">
      <w:pPr>
        <w:numPr>
          <w:ilvl w:val="0"/>
          <w:numId w:val="3"/>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 xml:space="preserve">The rights of disabled people under the Equality Act 2010 mean employers need to treat disabled people more favourably than someone who is not disabled, </w:t>
      </w:r>
      <w:proofErr w:type="gramStart"/>
      <w:r w:rsidRPr="00C55135">
        <w:rPr>
          <w:rFonts w:ascii="inherit" w:eastAsia="Times New Roman" w:hAnsi="inherit" w:cs="Times New Roman"/>
          <w:color w:val="25303B"/>
          <w:kern w:val="0"/>
          <w:lang w:eastAsia="en-GB"/>
          <w14:ligatures w14:val="none"/>
        </w:rPr>
        <w:t>in order to</w:t>
      </w:r>
      <w:proofErr w:type="gramEnd"/>
      <w:r w:rsidRPr="00C55135">
        <w:rPr>
          <w:rFonts w:ascii="inherit" w:eastAsia="Times New Roman" w:hAnsi="inherit" w:cs="Times New Roman"/>
          <w:color w:val="25303B"/>
          <w:kern w:val="0"/>
          <w:lang w:eastAsia="en-GB"/>
          <w14:ligatures w14:val="none"/>
        </w:rPr>
        <w:t xml:space="preserve"> overcome the barriers faced, so ensure you explain this to employers who try to argue they need to treat everyone "equally".</w:t>
      </w:r>
    </w:p>
    <w:p w14:paraId="02AB040D" w14:textId="77777777" w:rsidR="00C55135" w:rsidRPr="00C55135" w:rsidRDefault="00C55135" w:rsidP="00C55135">
      <w:pPr>
        <w:spacing w:before="100" w:beforeAutospacing="1" w:after="100" w:afterAutospacing="1" w:line="240" w:lineRule="auto"/>
        <w:textAlignment w:val="baseline"/>
        <w:outlineLvl w:val="2"/>
        <w:rPr>
          <w:rFonts w:ascii="inherit" w:eastAsia="Times New Roman" w:hAnsi="inherit" w:cs="Times New Roman"/>
          <w:b/>
          <w:bCs/>
          <w:color w:val="25303B"/>
          <w:kern w:val="0"/>
          <w:sz w:val="27"/>
          <w:szCs w:val="27"/>
          <w:lang w:eastAsia="en-GB"/>
          <w14:ligatures w14:val="none"/>
        </w:rPr>
      </w:pPr>
      <w:r w:rsidRPr="00C55135">
        <w:rPr>
          <w:rFonts w:ascii="inherit" w:eastAsia="Times New Roman" w:hAnsi="inherit" w:cs="Times New Roman"/>
          <w:b/>
          <w:bCs/>
          <w:color w:val="25303B"/>
          <w:kern w:val="0"/>
          <w:sz w:val="27"/>
          <w:szCs w:val="27"/>
          <w:lang w:eastAsia="en-GB"/>
          <w14:ligatures w14:val="none"/>
        </w:rPr>
        <w:t>What can I do to proactively help my disabled members?</w:t>
      </w:r>
    </w:p>
    <w:p w14:paraId="75C708D0" w14:textId="77777777" w:rsidR="00C55135" w:rsidRPr="00C55135" w:rsidRDefault="00C55135" w:rsidP="00C55135">
      <w:pPr>
        <w:numPr>
          <w:ilvl w:val="0"/>
          <w:numId w:val="4"/>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Encourage disabled members to declare their disability. This will place the onus directly on the employer to make the necessary reasonable adjustments.</w:t>
      </w:r>
    </w:p>
    <w:p w14:paraId="6FAA0634" w14:textId="77777777" w:rsidR="00C55135" w:rsidRPr="00C55135" w:rsidRDefault="00C55135" w:rsidP="00C55135">
      <w:pPr>
        <w:numPr>
          <w:ilvl w:val="0"/>
          <w:numId w:val="4"/>
        </w:numPr>
        <w:spacing w:beforeAutospacing="1" w:after="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Help disabled members to negotiate their </w:t>
      </w:r>
      <w:hyperlink r:id="rId7" w:tooltip="Reasonable adjustments and case studies" w:history="1">
        <w:r w:rsidRPr="00C55135">
          <w:rPr>
            <w:rFonts w:ascii="inherit" w:eastAsia="Times New Roman" w:hAnsi="inherit" w:cs="Times New Roman"/>
            <w:b/>
            <w:bCs/>
            <w:color w:val="3AC5C6"/>
            <w:kern w:val="0"/>
            <w:u w:val="single"/>
            <w:bdr w:val="none" w:sz="0" w:space="0" w:color="auto" w:frame="1"/>
            <w:lang w:eastAsia="en-GB"/>
            <w14:ligatures w14:val="none"/>
          </w:rPr>
          <w:t>reasonable adjustments</w:t>
        </w:r>
      </w:hyperlink>
      <w:r w:rsidRPr="00C55135">
        <w:rPr>
          <w:rFonts w:ascii="inherit" w:eastAsia="Times New Roman" w:hAnsi="inherit" w:cs="Times New Roman"/>
          <w:color w:val="25303B"/>
          <w:kern w:val="0"/>
          <w:lang w:eastAsia="en-GB"/>
          <w14:ligatures w14:val="none"/>
        </w:rPr>
        <w:t>. Always insist that a proper risk assessment is carried out and referral to OH if necessary.</w:t>
      </w:r>
    </w:p>
    <w:p w14:paraId="68BCE65C" w14:textId="77777777" w:rsidR="00C55135" w:rsidRPr="00C55135" w:rsidRDefault="00C55135" w:rsidP="00C55135">
      <w:pPr>
        <w:numPr>
          <w:ilvl w:val="0"/>
          <w:numId w:val="4"/>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 xml:space="preserve">Request that the employer carry out a workplace disability audit. It must assess the impact of their policies and procedures on the people affected by them and </w:t>
      </w:r>
      <w:r w:rsidRPr="00C55135">
        <w:rPr>
          <w:rFonts w:ascii="inherit" w:eastAsia="Times New Roman" w:hAnsi="inherit" w:cs="Times New Roman"/>
          <w:color w:val="25303B"/>
          <w:kern w:val="0"/>
          <w:lang w:eastAsia="en-GB"/>
          <w14:ligatures w14:val="none"/>
        </w:rPr>
        <w:lastRenderedPageBreak/>
        <w:t>take steps to remove any barriers that come to light where it is proportionate to do so. This includes carrying out reasonable adjustments.</w:t>
      </w:r>
    </w:p>
    <w:p w14:paraId="31DE3FCC" w14:textId="77777777" w:rsidR="00C55135" w:rsidRPr="00C55135" w:rsidRDefault="00C55135" w:rsidP="00C55135">
      <w:pPr>
        <w:numPr>
          <w:ilvl w:val="0"/>
          <w:numId w:val="4"/>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Does the employer have a disability leave policy? If not – can you get one agreed?</w:t>
      </w:r>
    </w:p>
    <w:p w14:paraId="36424FEC" w14:textId="77777777" w:rsidR="00C55135" w:rsidRPr="00C55135" w:rsidRDefault="00C55135" w:rsidP="00C55135">
      <w:pPr>
        <w:numPr>
          <w:ilvl w:val="0"/>
          <w:numId w:val="4"/>
        </w:numPr>
        <w:spacing w:beforeAutospacing="1" w:after="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Could the employer do more to improve staff mental health and reduce stress due to unrealistic workloads? Read the </w:t>
      </w:r>
      <w:hyperlink r:id="rId8" w:tooltip="Mental Health Charter " w:history="1">
        <w:r w:rsidRPr="00C55135">
          <w:rPr>
            <w:rFonts w:ascii="inherit" w:eastAsia="Times New Roman" w:hAnsi="inherit" w:cs="Times New Roman"/>
            <w:b/>
            <w:bCs/>
            <w:color w:val="3AC5C6"/>
            <w:kern w:val="0"/>
            <w:u w:val="single"/>
            <w:bdr w:val="none" w:sz="0" w:space="0" w:color="auto" w:frame="1"/>
            <w:lang w:eastAsia="en-GB"/>
            <w14:ligatures w14:val="none"/>
          </w:rPr>
          <w:t>NEU's Mental Health Charter</w:t>
        </w:r>
      </w:hyperlink>
      <w:r w:rsidRPr="00C55135">
        <w:rPr>
          <w:rFonts w:ascii="inherit" w:eastAsia="Times New Roman" w:hAnsi="inherit" w:cs="Times New Roman"/>
          <w:color w:val="25303B"/>
          <w:kern w:val="0"/>
          <w:lang w:eastAsia="en-GB"/>
          <w14:ligatures w14:val="none"/>
        </w:rPr>
        <w:t>.</w:t>
      </w:r>
    </w:p>
    <w:p w14:paraId="2900F045" w14:textId="77777777" w:rsidR="00C55135" w:rsidRPr="00C55135" w:rsidRDefault="00C55135" w:rsidP="00C55135">
      <w:pPr>
        <w:numPr>
          <w:ilvl w:val="0"/>
          <w:numId w:val="4"/>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Employ best practice in disability equality and supporting disabled members in your union group meetings.</w:t>
      </w:r>
    </w:p>
    <w:p w14:paraId="240E513F" w14:textId="77777777" w:rsidR="00C55135" w:rsidRPr="00C55135" w:rsidRDefault="00C55135" w:rsidP="00C55135">
      <w:pPr>
        <w:spacing w:before="100" w:beforeAutospacing="1" w:after="100" w:afterAutospacing="1" w:line="240" w:lineRule="auto"/>
        <w:textAlignment w:val="baseline"/>
        <w:outlineLvl w:val="2"/>
        <w:rPr>
          <w:rFonts w:ascii="inherit" w:eastAsia="Times New Roman" w:hAnsi="inherit" w:cs="Times New Roman"/>
          <w:b/>
          <w:bCs/>
          <w:color w:val="25303B"/>
          <w:kern w:val="0"/>
          <w:sz w:val="27"/>
          <w:szCs w:val="27"/>
          <w:lang w:eastAsia="en-GB"/>
          <w14:ligatures w14:val="none"/>
        </w:rPr>
      </w:pPr>
      <w:r w:rsidRPr="00C55135">
        <w:rPr>
          <w:rFonts w:ascii="inherit" w:eastAsia="Times New Roman" w:hAnsi="inherit" w:cs="Times New Roman"/>
          <w:b/>
          <w:bCs/>
          <w:color w:val="25303B"/>
          <w:kern w:val="0"/>
          <w:sz w:val="27"/>
          <w:szCs w:val="27"/>
          <w:lang w:eastAsia="en-GB"/>
          <w14:ligatures w14:val="none"/>
        </w:rPr>
        <w:t>How do I help a member who is being discriminated against?</w:t>
      </w:r>
    </w:p>
    <w:p w14:paraId="544FB0FB" w14:textId="77777777" w:rsidR="00C55135" w:rsidRPr="00C55135" w:rsidRDefault="00C55135" w:rsidP="00C55135">
      <w:pPr>
        <w:numPr>
          <w:ilvl w:val="0"/>
          <w:numId w:val="5"/>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Incapability is a potentially fair reason to dismiss an employee, although a failure to make reasonable adjustments may make such dismissal unfair and/or discriminatory.</w:t>
      </w:r>
    </w:p>
    <w:p w14:paraId="104577E2" w14:textId="77777777" w:rsidR="00C55135" w:rsidRPr="00C55135" w:rsidRDefault="00C55135" w:rsidP="00C55135">
      <w:pPr>
        <w:numPr>
          <w:ilvl w:val="0"/>
          <w:numId w:val="5"/>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Many employers use a trigger system to move through the stages of sickness absence management. Even if disability leave is not appropriate you could ask the employer to change the trigger as a reasonable adjustment.</w:t>
      </w:r>
    </w:p>
    <w:p w14:paraId="5414E5C1" w14:textId="77777777" w:rsidR="00C55135" w:rsidRPr="00C55135" w:rsidRDefault="00C55135" w:rsidP="00C55135">
      <w:pPr>
        <w:numPr>
          <w:ilvl w:val="0"/>
          <w:numId w:val="5"/>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If your member is refused reasonable adjustments, they may need to raise this as a grievance.</w:t>
      </w:r>
    </w:p>
    <w:p w14:paraId="40BEEFFC" w14:textId="77777777" w:rsidR="00C55135" w:rsidRPr="00C55135" w:rsidRDefault="00C55135" w:rsidP="00C55135">
      <w:pPr>
        <w:numPr>
          <w:ilvl w:val="0"/>
          <w:numId w:val="5"/>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Always make sure reasonable adjustments are in place during any formal meetings.</w:t>
      </w:r>
    </w:p>
    <w:p w14:paraId="78096C56" w14:textId="77777777" w:rsidR="00C55135" w:rsidRPr="00C55135" w:rsidRDefault="00C55135" w:rsidP="00C55135">
      <w:pPr>
        <w:numPr>
          <w:ilvl w:val="0"/>
          <w:numId w:val="5"/>
        </w:numPr>
        <w:spacing w:beforeAutospacing="1" w:after="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Attend </w:t>
      </w:r>
      <w:hyperlink r:id="rId9" w:tooltip="Courses" w:history="1">
        <w:r w:rsidRPr="00C55135">
          <w:rPr>
            <w:rFonts w:ascii="inherit" w:eastAsia="Times New Roman" w:hAnsi="inherit" w:cs="Times New Roman"/>
            <w:b/>
            <w:bCs/>
            <w:color w:val="3AC5C6"/>
            <w:kern w:val="0"/>
            <w:u w:val="single"/>
            <w:bdr w:val="none" w:sz="0" w:space="0" w:color="auto" w:frame="1"/>
            <w:lang w:eastAsia="en-GB"/>
            <w14:ligatures w14:val="none"/>
          </w:rPr>
          <w:t>workplace reps and equality officer training</w:t>
        </w:r>
      </w:hyperlink>
      <w:r w:rsidRPr="00C55135">
        <w:rPr>
          <w:rFonts w:ascii="inherit" w:eastAsia="Times New Roman" w:hAnsi="inherit" w:cs="Times New Roman"/>
          <w:color w:val="25303B"/>
          <w:kern w:val="0"/>
          <w:lang w:eastAsia="en-GB"/>
          <w14:ligatures w14:val="none"/>
        </w:rPr>
        <w:t>.</w:t>
      </w:r>
    </w:p>
    <w:p w14:paraId="1C8E1E9F" w14:textId="77777777" w:rsidR="00C55135" w:rsidRPr="00C55135" w:rsidRDefault="00C55135" w:rsidP="00C55135">
      <w:p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The Disability Equality Toolkit is designed to be used by NEU workplace reps to support Disabled members as well as providing information and advice for Disabled members themselves. There are also some tools that will be useful for Union branch secretaries and caseworkers.</w:t>
      </w:r>
    </w:p>
    <w:p w14:paraId="13398B83" w14:textId="77777777" w:rsidR="00C55135" w:rsidRPr="00C55135" w:rsidRDefault="00C55135" w:rsidP="00C55135">
      <w:p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proofErr w:type="gramStart"/>
      <w:r w:rsidRPr="00C55135">
        <w:rPr>
          <w:rFonts w:ascii="inherit" w:eastAsia="Times New Roman" w:hAnsi="inherit" w:cs="Times New Roman"/>
          <w:color w:val="25303B"/>
          <w:kern w:val="0"/>
          <w:lang w:eastAsia="en-GB"/>
          <w14:ligatures w14:val="none"/>
        </w:rPr>
        <w:t>All of</w:t>
      </w:r>
      <w:proofErr w:type="gramEnd"/>
      <w:r w:rsidRPr="00C55135">
        <w:rPr>
          <w:rFonts w:ascii="inherit" w:eastAsia="Times New Roman" w:hAnsi="inherit" w:cs="Times New Roman"/>
          <w:color w:val="25303B"/>
          <w:kern w:val="0"/>
          <w:lang w:eastAsia="en-GB"/>
          <w14:ligatures w14:val="none"/>
        </w:rPr>
        <w:t xml:space="preserve"> the resources are based on the social model of disability and are aimed at promoting a collective response to supporting NEU Disabled members in the workplace.</w:t>
      </w:r>
    </w:p>
    <w:p w14:paraId="21A9DA96" w14:textId="77777777" w:rsidR="00C55135" w:rsidRPr="00C55135" w:rsidRDefault="00C55135" w:rsidP="00C55135">
      <w:p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For advice on negotiating reasonable adjustments collectively, there are tools for reps and members as well as useful FAQs.</w:t>
      </w:r>
    </w:p>
    <w:p w14:paraId="0C33769A" w14:textId="77777777" w:rsidR="00C55135" w:rsidRPr="00C55135" w:rsidRDefault="00C55135" w:rsidP="00C55135">
      <w:p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The suggested reasonable adjustments, Language Do’s and Don’ts and the Social Model of Disability tools will be useful for upskilling everyone in the workplace on promoting a Disability Equality culture and ethos for staff, students and the wider community.</w:t>
      </w:r>
    </w:p>
    <w:p w14:paraId="2D5997B6" w14:textId="77777777" w:rsidR="00C55135" w:rsidRPr="00C55135" w:rsidRDefault="00C55135" w:rsidP="00C55135">
      <w:pPr>
        <w:spacing w:after="0" w:line="240" w:lineRule="auto"/>
        <w:textAlignment w:val="baseline"/>
        <w:outlineLvl w:val="1"/>
        <w:rPr>
          <w:rFonts w:ascii="inherit" w:eastAsia="Times New Roman" w:hAnsi="inherit" w:cs="Times New Roman"/>
          <w:b/>
          <w:bCs/>
          <w:color w:val="25303B"/>
          <w:kern w:val="0"/>
          <w:sz w:val="36"/>
          <w:szCs w:val="36"/>
          <w:lang w:eastAsia="en-GB"/>
          <w14:ligatures w14:val="none"/>
        </w:rPr>
      </w:pPr>
      <w:proofErr w:type="gramStart"/>
      <w:r w:rsidRPr="00C55135">
        <w:rPr>
          <w:rFonts w:ascii="inherit" w:eastAsia="Times New Roman" w:hAnsi="inherit" w:cs="Times New Roman"/>
          <w:b/>
          <w:bCs/>
          <w:color w:val="25303B"/>
          <w:kern w:val="0"/>
          <w:sz w:val="36"/>
          <w:szCs w:val="36"/>
          <w:lang w:eastAsia="en-GB"/>
          <w14:ligatures w14:val="none"/>
        </w:rPr>
        <w:t>Reps</w:t>
      </w:r>
      <w:proofErr w:type="gramEnd"/>
      <w:r w:rsidRPr="00C55135">
        <w:rPr>
          <w:rFonts w:ascii="inherit" w:eastAsia="Times New Roman" w:hAnsi="inherit" w:cs="Times New Roman"/>
          <w:b/>
          <w:bCs/>
          <w:color w:val="25303B"/>
          <w:kern w:val="0"/>
          <w:sz w:val="36"/>
          <w:szCs w:val="36"/>
          <w:lang w:eastAsia="en-GB"/>
          <w14:ligatures w14:val="none"/>
        </w:rPr>
        <w:t xml:space="preserve"> resources</w:t>
      </w:r>
    </w:p>
    <w:p w14:paraId="611DE992" w14:textId="77777777" w:rsidR="00C55135" w:rsidRPr="00C55135" w:rsidRDefault="00C55135" w:rsidP="00C55135">
      <w:p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These tools can be used:</w:t>
      </w:r>
    </w:p>
    <w:p w14:paraId="539678AE" w14:textId="77777777" w:rsidR="00C55135" w:rsidRPr="00C55135" w:rsidRDefault="00C55135" w:rsidP="00C55135">
      <w:pPr>
        <w:numPr>
          <w:ilvl w:val="0"/>
          <w:numId w:val="6"/>
        </w:numPr>
        <w:spacing w:beforeAutospacing="1" w:after="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when a member requires support to </w:t>
      </w:r>
      <w:hyperlink r:id="rId10" w:tooltip="Reasonable adjustments and case studies" w:history="1">
        <w:r w:rsidRPr="00C55135">
          <w:rPr>
            <w:rFonts w:ascii="inherit" w:eastAsia="Times New Roman" w:hAnsi="inherit" w:cs="Times New Roman"/>
            <w:b/>
            <w:bCs/>
            <w:color w:val="3AC5C6"/>
            <w:kern w:val="0"/>
            <w:u w:val="single"/>
            <w:bdr w:val="none" w:sz="0" w:space="0" w:color="auto" w:frame="1"/>
            <w:lang w:eastAsia="en-GB"/>
            <w14:ligatures w14:val="none"/>
          </w:rPr>
          <w:t>negotiate reasonable adjustments</w:t>
        </w:r>
      </w:hyperlink>
      <w:r w:rsidRPr="00C55135">
        <w:rPr>
          <w:rFonts w:ascii="inherit" w:eastAsia="Times New Roman" w:hAnsi="inherit" w:cs="Times New Roman"/>
          <w:color w:val="25303B"/>
          <w:kern w:val="0"/>
          <w:lang w:eastAsia="en-GB"/>
          <w14:ligatures w14:val="none"/>
        </w:rPr>
        <w:t>,</w:t>
      </w:r>
    </w:p>
    <w:p w14:paraId="4EA0819A" w14:textId="77777777" w:rsidR="00C55135" w:rsidRPr="00C55135" w:rsidRDefault="00C55135" w:rsidP="00C55135">
      <w:pPr>
        <w:numPr>
          <w:ilvl w:val="0"/>
          <w:numId w:val="6"/>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when a specific issue arises for one or more members in a workplace</w:t>
      </w:r>
    </w:p>
    <w:p w14:paraId="7E98DB57" w14:textId="77777777" w:rsidR="00C55135" w:rsidRPr="00C55135" w:rsidRDefault="00C55135" w:rsidP="00C55135">
      <w:pPr>
        <w:numPr>
          <w:ilvl w:val="0"/>
          <w:numId w:val="6"/>
        </w:numPr>
        <w:spacing w:before="100" w:beforeAutospacing="1" w:after="100" w:afterAutospacing="1" w:line="240" w:lineRule="auto"/>
        <w:textAlignment w:val="baseline"/>
        <w:rPr>
          <w:rFonts w:ascii="inherit" w:eastAsia="Times New Roman" w:hAnsi="inherit" w:cs="Times New Roman"/>
          <w:color w:val="25303B"/>
          <w:kern w:val="0"/>
          <w:lang w:eastAsia="en-GB"/>
          <w14:ligatures w14:val="none"/>
        </w:rPr>
      </w:pPr>
      <w:r w:rsidRPr="00C55135">
        <w:rPr>
          <w:rFonts w:ascii="inherit" w:eastAsia="Times New Roman" w:hAnsi="inherit" w:cs="Times New Roman"/>
          <w:color w:val="25303B"/>
          <w:kern w:val="0"/>
          <w:lang w:eastAsia="en-GB"/>
          <w14:ligatures w14:val="none"/>
        </w:rPr>
        <w:t>to take an anticipatory approach towards greater disability equality for all in your workplace.</w:t>
      </w:r>
    </w:p>
    <w:p w14:paraId="2D053D32" w14:textId="6D45185D" w:rsidR="00C55135" w:rsidRDefault="00C55135">
      <w:r w:rsidRPr="00C55135">
        <w:t>https://neu.org.uk/advice/equality/disability-equality/disability-equality-toolkit</w:t>
      </w:r>
    </w:p>
    <w:sectPr w:rsidR="00C55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F6CE8"/>
    <w:multiLevelType w:val="multilevel"/>
    <w:tmpl w:val="8E247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D4080"/>
    <w:multiLevelType w:val="multilevel"/>
    <w:tmpl w:val="443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B6C7C"/>
    <w:multiLevelType w:val="multilevel"/>
    <w:tmpl w:val="6078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548EE"/>
    <w:multiLevelType w:val="multilevel"/>
    <w:tmpl w:val="2700B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8103F"/>
    <w:multiLevelType w:val="multilevel"/>
    <w:tmpl w:val="CF0E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21330"/>
    <w:multiLevelType w:val="multilevel"/>
    <w:tmpl w:val="7F02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350559">
    <w:abstractNumId w:val="0"/>
  </w:num>
  <w:num w:numId="2" w16cid:durableId="1743941894">
    <w:abstractNumId w:val="1"/>
  </w:num>
  <w:num w:numId="3" w16cid:durableId="547954729">
    <w:abstractNumId w:val="3"/>
  </w:num>
  <w:num w:numId="4" w16cid:durableId="1395087067">
    <w:abstractNumId w:val="5"/>
  </w:num>
  <w:num w:numId="5" w16cid:durableId="1047074076">
    <w:abstractNumId w:val="4"/>
  </w:num>
  <w:num w:numId="6" w16cid:durableId="186706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35"/>
    <w:rsid w:val="00233A15"/>
    <w:rsid w:val="00C55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B7BC"/>
  <w15:chartTrackingRefBased/>
  <w15:docId w15:val="{6C677F60-0F23-4970-9556-90F86440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135"/>
    <w:rPr>
      <w:rFonts w:eastAsiaTheme="majorEastAsia" w:cstheme="majorBidi"/>
      <w:color w:val="272727" w:themeColor="text1" w:themeTint="D8"/>
    </w:rPr>
  </w:style>
  <w:style w:type="paragraph" w:styleId="Title">
    <w:name w:val="Title"/>
    <w:basedOn w:val="Normal"/>
    <w:next w:val="Normal"/>
    <w:link w:val="TitleChar"/>
    <w:uiPriority w:val="10"/>
    <w:qFormat/>
    <w:rsid w:val="00C55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135"/>
    <w:pPr>
      <w:spacing w:before="160"/>
      <w:jc w:val="center"/>
    </w:pPr>
    <w:rPr>
      <w:i/>
      <w:iCs/>
      <w:color w:val="404040" w:themeColor="text1" w:themeTint="BF"/>
    </w:rPr>
  </w:style>
  <w:style w:type="character" w:customStyle="1" w:styleId="QuoteChar">
    <w:name w:val="Quote Char"/>
    <w:basedOn w:val="DefaultParagraphFont"/>
    <w:link w:val="Quote"/>
    <w:uiPriority w:val="29"/>
    <w:rsid w:val="00C55135"/>
    <w:rPr>
      <w:i/>
      <w:iCs/>
      <w:color w:val="404040" w:themeColor="text1" w:themeTint="BF"/>
    </w:rPr>
  </w:style>
  <w:style w:type="paragraph" w:styleId="ListParagraph">
    <w:name w:val="List Paragraph"/>
    <w:basedOn w:val="Normal"/>
    <w:uiPriority w:val="34"/>
    <w:qFormat/>
    <w:rsid w:val="00C55135"/>
    <w:pPr>
      <w:ind w:left="720"/>
      <w:contextualSpacing/>
    </w:pPr>
  </w:style>
  <w:style w:type="character" w:styleId="IntenseEmphasis">
    <w:name w:val="Intense Emphasis"/>
    <w:basedOn w:val="DefaultParagraphFont"/>
    <w:uiPriority w:val="21"/>
    <w:qFormat/>
    <w:rsid w:val="00C55135"/>
    <w:rPr>
      <w:i/>
      <w:iCs/>
      <w:color w:val="0F4761" w:themeColor="accent1" w:themeShade="BF"/>
    </w:rPr>
  </w:style>
  <w:style w:type="paragraph" w:styleId="IntenseQuote">
    <w:name w:val="Intense Quote"/>
    <w:basedOn w:val="Normal"/>
    <w:next w:val="Normal"/>
    <w:link w:val="IntenseQuoteChar"/>
    <w:uiPriority w:val="30"/>
    <w:qFormat/>
    <w:rsid w:val="00C55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135"/>
    <w:rPr>
      <w:i/>
      <w:iCs/>
      <w:color w:val="0F4761" w:themeColor="accent1" w:themeShade="BF"/>
    </w:rPr>
  </w:style>
  <w:style w:type="character" w:styleId="IntenseReference">
    <w:name w:val="Intense Reference"/>
    <w:basedOn w:val="DefaultParagraphFont"/>
    <w:uiPriority w:val="32"/>
    <w:qFormat/>
    <w:rsid w:val="00C551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281967">
      <w:bodyDiv w:val="1"/>
      <w:marLeft w:val="0"/>
      <w:marRight w:val="0"/>
      <w:marTop w:val="0"/>
      <w:marBottom w:val="0"/>
      <w:divBdr>
        <w:top w:val="none" w:sz="0" w:space="0" w:color="auto"/>
        <w:left w:val="none" w:sz="0" w:space="0" w:color="auto"/>
        <w:bottom w:val="none" w:sz="0" w:space="0" w:color="auto"/>
        <w:right w:val="none" w:sz="0" w:space="0" w:color="auto"/>
      </w:divBdr>
      <w:divsChild>
        <w:div w:id="977684042">
          <w:marLeft w:val="0"/>
          <w:marRight w:val="0"/>
          <w:marTop w:val="0"/>
          <w:marBottom w:val="0"/>
          <w:divBdr>
            <w:top w:val="none" w:sz="0" w:space="0" w:color="auto"/>
            <w:left w:val="none" w:sz="0" w:space="0" w:color="auto"/>
            <w:bottom w:val="none" w:sz="0" w:space="0" w:color="auto"/>
            <w:right w:val="none" w:sz="0" w:space="0" w:color="auto"/>
          </w:divBdr>
          <w:divsChild>
            <w:div w:id="1641808581">
              <w:marLeft w:val="0"/>
              <w:marRight w:val="0"/>
              <w:marTop w:val="0"/>
              <w:marBottom w:val="0"/>
              <w:divBdr>
                <w:top w:val="none" w:sz="0" w:space="0" w:color="auto"/>
                <w:left w:val="none" w:sz="0" w:space="0" w:color="auto"/>
                <w:bottom w:val="none" w:sz="0" w:space="0" w:color="auto"/>
                <w:right w:val="none" w:sz="0" w:space="0" w:color="auto"/>
              </w:divBdr>
            </w:div>
          </w:divsChild>
        </w:div>
        <w:div w:id="382602152">
          <w:marLeft w:val="0"/>
          <w:marRight w:val="0"/>
          <w:marTop w:val="100"/>
          <w:marBottom w:val="100"/>
          <w:divBdr>
            <w:top w:val="none" w:sz="0" w:space="0" w:color="auto"/>
            <w:left w:val="none" w:sz="0" w:space="0" w:color="auto"/>
            <w:bottom w:val="none" w:sz="0" w:space="0" w:color="auto"/>
            <w:right w:val="none" w:sz="0" w:space="0" w:color="auto"/>
          </w:divBdr>
          <w:divsChild>
            <w:div w:id="29114687">
              <w:marLeft w:val="0"/>
              <w:marRight w:val="0"/>
              <w:marTop w:val="0"/>
              <w:marBottom w:val="0"/>
              <w:divBdr>
                <w:top w:val="none" w:sz="0" w:space="0" w:color="auto"/>
                <w:left w:val="none" w:sz="0" w:space="0" w:color="auto"/>
                <w:bottom w:val="none" w:sz="0" w:space="0" w:color="auto"/>
                <w:right w:val="none" w:sz="0" w:space="0" w:color="auto"/>
              </w:divBdr>
              <w:divsChild>
                <w:div w:id="405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899">
          <w:marLeft w:val="0"/>
          <w:marRight w:val="0"/>
          <w:marTop w:val="0"/>
          <w:marBottom w:val="0"/>
          <w:divBdr>
            <w:top w:val="none" w:sz="0" w:space="0" w:color="auto"/>
            <w:left w:val="none" w:sz="0" w:space="0" w:color="auto"/>
            <w:bottom w:val="none" w:sz="0" w:space="0" w:color="auto"/>
            <w:right w:val="none" w:sz="0" w:space="0" w:color="auto"/>
          </w:divBdr>
          <w:divsChild>
            <w:div w:id="101457619">
              <w:marLeft w:val="0"/>
              <w:marRight w:val="0"/>
              <w:marTop w:val="0"/>
              <w:marBottom w:val="0"/>
              <w:divBdr>
                <w:top w:val="none" w:sz="0" w:space="0" w:color="auto"/>
                <w:left w:val="none" w:sz="0" w:space="0" w:color="auto"/>
                <w:bottom w:val="none" w:sz="0" w:space="0" w:color="auto"/>
                <w:right w:val="none" w:sz="0" w:space="0" w:color="auto"/>
              </w:divBdr>
              <w:divsChild>
                <w:div w:id="6685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org.uk/latest/library/mental-health-charter" TargetMode="External"/><Relationship Id="rId3" Type="http://schemas.openxmlformats.org/officeDocument/2006/relationships/settings" Target="settings.xml"/><Relationship Id="rId7" Type="http://schemas.openxmlformats.org/officeDocument/2006/relationships/hyperlink" Target="https://neu.org.uk/latest/library/reasonable-adjustments-and-case-stud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u.org.uk/latest/library/disability-discrimination" TargetMode="External"/><Relationship Id="rId11" Type="http://schemas.openxmlformats.org/officeDocument/2006/relationships/fontTable" Target="fontTable.xml"/><Relationship Id="rId5" Type="http://schemas.openxmlformats.org/officeDocument/2006/relationships/hyperlink" Target="https://neu.org.uk/latest/library/reasonable-adjustments-and-case-studies" TargetMode="External"/><Relationship Id="rId10" Type="http://schemas.openxmlformats.org/officeDocument/2006/relationships/hyperlink" Target="https://neu.org.uk/latest/library/reasonable-adjustments-and-case-studies" TargetMode="External"/><Relationship Id="rId4" Type="http://schemas.openxmlformats.org/officeDocument/2006/relationships/webSettings" Target="webSettings.xml"/><Relationship Id="rId9" Type="http://schemas.openxmlformats.org/officeDocument/2006/relationships/hyperlink" Target="https://neu.org.uk/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dcterms:created xsi:type="dcterms:W3CDTF">2024-11-15T16:21:00Z</dcterms:created>
  <dcterms:modified xsi:type="dcterms:W3CDTF">2024-11-15T16:23:00Z</dcterms:modified>
</cp:coreProperties>
</file>